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58" w:rsidRPr="00735349" w:rsidRDefault="00E11E58" w:rsidP="00E11E58">
      <w:pPr>
        <w:rPr>
          <w:b/>
          <w:sz w:val="36"/>
        </w:rPr>
      </w:pPr>
      <w:r w:rsidRPr="00735349">
        <w:rPr>
          <w:b/>
          <w:sz w:val="36"/>
        </w:rPr>
        <w:t>Guidance on the use of language in humanitarian settings</w:t>
      </w:r>
    </w:p>
    <w:p w:rsidR="00E11E58" w:rsidRDefault="00E11E58" w:rsidP="00E11E58">
      <w:r>
        <w:t xml:space="preserve">As communications and media experts, we have to consider the implications of our work on the safety and security of our staff and programs in the countries we work in. The meaning and usage of words can </w:t>
      </w:r>
      <w:r w:rsidR="00450150">
        <w:t>have a great impact</w:t>
      </w:r>
      <w:r>
        <w:t>, the unintended use of words such as ‘terrorist’ or ‘</w:t>
      </w:r>
      <w:proofErr w:type="spellStart"/>
      <w:r>
        <w:t>islamist</w:t>
      </w:r>
      <w:proofErr w:type="spellEnd"/>
      <w:r>
        <w:t xml:space="preserve">’ can put our colleagues in danger. </w:t>
      </w:r>
    </w:p>
    <w:p w:rsidR="00735349" w:rsidRPr="00735349" w:rsidRDefault="00735349" w:rsidP="00735349">
      <w:pPr>
        <w:rPr>
          <w:b/>
        </w:rPr>
      </w:pPr>
      <w:r w:rsidRPr="00735349">
        <w:rPr>
          <w:b/>
        </w:rPr>
        <w:t>Remember CARE’s Communications and Advocacy Principles</w:t>
      </w:r>
      <w:r>
        <w:rPr>
          <w:b/>
        </w:rPr>
        <w:t xml:space="preserve"> (CARE Communications Handbook)</w:t>
      </w:r>
      <w:r w:rsidRPr="00735349">
        <w:rPr>
          <w:b/>
        </w:rPr>
        <w:t xml:space="preserve">: </w:t>
      </w:r>
    </w:p>
    <w:p w:rsidR="00735349" w:rsidRPr="00E11E58" w:rsidRDefault="00735349" w:rsidP="00735349">
      <w:pPr>
        <w:pStyle w:val="ListParagraph"/>
        <w:numPr>
          <w:ilvl w:val="0"/>
          <w:numId w:val="1"/>
        </w:numPr>
      </w:pPr>
      <w:r w:rsidRPr="00E11E58">
        <w:t xml:space="preserve">Uphold the dignity of those affected. </w:t>
      </w:r>
    </w:p>
    <w:p w:rsidR="00735349" w:rsidRPr="00E11E58" w:rsidRDefault="00735349" w:rsidP="00735349">
      <w:pPr>
        <w:pStyle w:val="ListParagraph"/>
        <w:numPr>
          <w:ilvl w:val="0"/>
          <w:numId w:val="1"/>
        </w:numPr>
      </w:pPr>
      <w:r w:rsidRPr="00E11E58">
        <w:t xml:space="preserve">Focus on women and girls. </w:t>
      </w:r>
    </w:p>
    <w:p w:rsidR="00735349" w:rsidRPr="00E11E58" w:rsidRDefault="00735349" w:rsidP="00735349">
      <w:pPr>
        <w:pStyle w:val="ListParagraph"/>
        <w:numPr>
          <w:ilvl w:val="0"/>
          <w:numId w:val="1"/>
        </w:numPr>
      </w:pPr>
      <w:r w:rsidRPr="00E11E58">
        <w:t xml:space="preserve">Do no harm. </w:t>
      </w:r>
    </w:p>
    <w:p w:rsidR="00735349" w:rsidRPr="00F63ED8" w:rsidRDefault="00735349" w:rsidP="00E11E58">
      <w:pPr>
        <w:pStyle w:val="ListParagraph"/>
        <w:numPr>
          <w:ilvl w:val="0"/>
          <w:numId w:val="1"/>
        </w:numPr>
      </w:pPr>
      <w:r w:rsidRPr="00E11E58">
        <w:t xml:space="preserve">Be grounded in CARE’s expertise and program experience. </w:t>
      </w:r>
    </w:p>
    <w:p w:rsidR="00C86A30" w:rsidRDefault="00735349" w:rsidP="00E11E58">
      <w:pPr>
        <w:rPr>
          <w:b/>
          <w:sz w:val="24"/>
        </w:rPr>
      </w:pPr>
      <w:r w:rsidRPr="00735349">
        <w:rPr>
          <w:b/>
          <w:sz w:val="24"/>
        </w:rPr>
        <w:t>Some general guidance</w:t>
      </w:r>
      <w:r w:rsidR="00C86A30">
        <w:rPr>
          <w:b/>
          <w:sz w:val="24"/>
        </w:rPr>
        <w:t>:</w:t>
      </w:r>
      <w:r w:rsidR="00C86A30">
        <w:rPr>
          <w:rStyle w:val="FootnoteReference"/>
          <w:b/>
          <w:sz w:val="24"/>
        </w:rPr>
        <w:footnoteReference w:id="1"/>
      </w:r>
    </w:p>
    <w:p w:rsidR="00E11E58" w:rsidRDefault="00E11E58" w:rsidP="00E11E58">
      <w:r w:rsidRPr="00735349">
        <w:rPr>
          <w:b/>
        </w:rPr>
        <w:t>Use neutral and factual language to describe incidents and situations.</w:t>
      </w:r>
      <w:r>
        <w:t xml:space="preserve"> </w:t>
      </w:r>
      <w:r w:rsidR="00735349">
        <w:t>V</w:t>
      </w:r>
      <w:r>
        <w:t>alue-laden and controversial terms, or words with political and military connotation, should be avoided. For example, armed groups should not be labelled as ‘extremist’, ‘terrorist’ or ‘insurgent’ as this may imply a value or political statement and sometimes may have legal connotations, even if unintended.</w:t>
      </w:r>
      <w:r w:rsidR="00F63ED8">
        <w:t xml:space="preserve"> For example, the ‘liberation of Mosul’ has a </w:t>
      </w:r>
      <w:r w:rsidR="00431EB0">
        <w:t xml:space="preserve">very </w:t>
      </w:r>
      <w:r w:rsidR="00F63ED8">
        <w:t>partial meaning whereas</w:t>
      </w:r>
      <w:r w:rsidR="00431EB0">
        <w:t xml:space="preserve"> ‘retaking’ or the ‘fight for Mosul’ is more neutral.</w:t>
      </w:r>
      <w:r w:rsidR="00F63ED8">
        <w:t xml:space="preserve"> When using the term ‘war’, ensure to do so in a nuanced way and only use it to put weight behind certain messages and headline. Don’t overuse it, refer to ‘civil war/conflict’ instead.  </w:t>
      </w:r>
    </w:p>
    <w:p w:rsidR="00E11E58" w:rsidRDefault="00E11E58" w:rsidP="00E11E58">
      <w:r w:rsidRPr="00735349">
        <w:rPr>
          <w:b/>
        </w:rPr>
        <w:t>Respect the dignity of people who have been impacted</w:t>
      </w:r>
      <w:r>
        <w:t>. This includes avoiding ‘victimising’ language like ‘pathetic’ to describe people and avoiding reducing people to a category, for example referring to people as IDPs</w:t>
      </w:r>
      <w:r w:rsidR="00F63ED8">
        <w:t xml:space="preserve"> (rather say people that are displaced internally or displaced within their own country)</w:t>
      </w:r>
      <w:r>
        <w:t>. Where possible, use humanizing terms - families, communities, girls, boys, women and men – and avoid dehumanizing ones, like ‘populations’.</w:t>
      </w:r>
    </w:p>
    <w:p w:rsidR="005C1C4A" w:rsidRDefault="00E11E58" w:rsidP="00E11E58">
      <w:r w:rsidRPr="00735349">
        <w:rPr>
          <w:b/>
        </w:rPr>
        <w:t>Avoid humanitarian jargon</w:t>
      </w:r>
      <w:r>
        <w:t xml:space="preserve">. When using humanitarian terminology, use examples to help provide clarity. Instead of using terms such as ‘non-food items’, use </w:t>
      </w:r>
      <w:r w:rsidR="00735349">
        <w:t>‘</w:t>
      </w:r>
      <w:r>
        <w:t xml:space="preserve">household </w:t>
      </w:r>
      <w:r w:rsidR="00735349">
        <w:t>supplies’</w:t>
      </w:r>
      <w:r>
        <w:t xml:space="preserve"> or explain what these items are. Help the audience distinguish key humanitarian terms such as ‘</w:t>
      </w:r>
      <w:r w:rsidR="00F63ED8">
        <w:t xml:space="preserve">internally </w:t>
      </w:r>
      <w:r>
        <w:t>displaced people’ and ‘refugees’ to ensure that these are not used interchangeably.</w:t>
      </w:r>
      <w:r w:rsidR="0056211B">
        <w:t xml:space="preserve"> Check </w:t>
      </w:r>
      <w:hyperlink r:id="rId8" w:history="1">
        <w:r w:rsidR="0056211B" w:rsidRPr="0056211B">
          <w:rPr>
            <w:rStyle w:val="Hyperlink"/>
          </w:rPr>
          <w:t>here</w:t>
        </w:r>
      </w:hyperlink>
      <w:r w:rsidR="0056211B">
        <w:t xml:space="preserve"> for a definition of these terms. Avoid using the term ‘climate refugees’ as </w:t>
      </w:r>
      <w:r w:rsidR="00F63ED8">
        <w:t>it is</w:t>
      </w:r>
      <w:r w:rsidR="0056211B">
        <w:t xml:space="preserve"> legally inaccurate. </w:t>
      </w:r>
    </w:p>
    <w:p w:rsidR="00E11E58" w:rsidRDefault="00E11E58"/>
    <w:tbl>
      <w:tblPr>
        <w:tblStyle w:val="TableGrid"/>
        <w:tblW w:w="0" w:type="auto"/>
        <w:tblLook w:val="04A0" w:firstRow="1" w:lastRow="0" w:firstColumn="1" w:lastColumn="0" w:noHBand="0" w:noVBand="1"/>
      </w:tblPr>
      <w:tblGrid>
        <w:gridCol w:w="3005"/>
        <w:gridCol w:w="3005"/>
        <w:gridCol w:w="3006"/>
      </w:tblGrid>
      <w:tr w:rsidR="00E11E58" w:rsidTr="00FC0F09">
        <w:tc>
          <w:tcPr>
            <w:tcW w:w="3005" w:type="dxa"/>
            <w:shd w:val="clear" w:color="auto" w:fill="F4B083" w:themeFill="accent2" w:themeFillTint="99"/>
          </w:tcPr>
          <w:p w:rsidR="00E11E58" w:rsidRPr="00FC0F09" w:rsidRDefault="00FC0F09">
            <w:pPr>
              <w:rPr>
                <w:b/>
              </w:rPr>
            </w:pPr>
            <w:r w:rsidRPr="00FC0F09">
              <w:rPr>
                <w:b/>
              </w:rPr>
              <w:t>Issue</w:t>
            </w:r>
          </w:p>
        </w:tc>
        <w:tc>
          <w:tcPr>
            <w:tcW w:w="3005" w:type="dxa"/>
            <w:shd w:val="clear" w:color="auto" w:fill="F4B083" w:themeFill="accent2" w:themeFillTint="99"/>
          </w:tcPr>
          <w:p w:rsidR="00E11E58" w:rsidRPr="00FC0F09" w:rsidRDefault="00FC0F09">
            <w:pPr>
              <w:rPr>
                <w:b/>
              </w:rPr>
            </w:pPr>
            <w:r w:rsidRPr="00FC0F09">
              <w:rPr>
                <w:b/>
              </w:rPr>
              <w:t>Appropriate</w:t>
            </w:r>
          </w:p>
        </w:tc>
        <w:tc>
          <w:tcPr>
            <w:tcW w:w="3006" w:type="dxa"/>
            <w:shd w:val="clear" w:color="auto" w:fill="F4B083" w:themeFill="accent2" w:themeFillTint="99"/>
          </w:tcPr>
          <w:p w:rsidR="00E11E58" w:rsidRPr="00FC0F09" w:rsidRDefault="00FC0F09">
            <w:pPr>
              <w:rPr>
                <w:b/>
              </w:rPr>
            </w:pPr>
            <w:r w:rsidRPr="00FC0F09">
              <w:rPr>
                <w:b/>
              </w:rPr>
              <w:t>Inappropriate</w:t>
            </w:r>
          </w:p>
        </w:tc>
      </w:tr>
      <w:tr w:rsidR="00E11E58" w:rsidTr="00E11E58">
        <w:tc>
          <w:tcPr>
            <w:tcW w:w="3005" w:type="dxa"/>
          </w:tcPr>
          <w:p w:rsidR="00E11E58" w:rsidRDefault="00FC0F09" w:rsidP="00FC0F09">
            <w:r>
              <w:t xml:space="preserve">Groups such as ISIS, Boko Haram, Taliban, Al Qaeda </w:t>
            </w:r>
          </w:p>
        </w:tc>
        <w:tc>
          <w:tcPr>
            <w:tcW w:w="3005" w:type="dxa"/>
          </w:tcPr>
          <w:p w:rsidR="00E11E58" w:rsidRDefault="00FC0F09">
            <w:r>
              <w:t>Militant groups</w:t>
            </w:r>
          </w:p>
          <w:p w:rsidR="00FC0F09" w:rsidRDefault="00FC0F09">
            <w:r>
              <w:t>Armed groups</w:t>
            </w:r>
          </w:p>
        </w:tc>
        <w:tc>
          <w:tcPr>
            <w:tcW w:w="3006" w:type="dxa"/>
          </w:tcPr>
          <w:p w:rsidR="00E11E58" w:rsidRDefault="00FC0F09">
            <w:r>
              <w:t>Islamists</w:t>
            </w:r>
          </w:p>
          <w:p w:rsidR="00FC0F09" w:rsidRDefault="00FC0F09">
            <w:r>
              <w:t>Extremists</w:t>
            </w:r>
          </w:p>
          <w:p w:rsidR="00FC0F09" w:rsidRDefault="00FC0F09">
            <w:r>
              <w:t>Terrorists</w:t>
            </w:r>
          </w:p>
          <w:p w:rsidR="00837242" w:rsidRDefault="00837242">
            <w:r>
              <w:t>Attackers</w:t>
            </w:r>
          </w:p>
          <w:p w:rsidR="00193D1F" w:rsidRDefault="00193D1F">
            <w:r>
              <w:t>Rebel groups</w:t>
            </w:r>
          </w:p>
          <w:p w:rsidR="00193D1F" w:rsidRDefault="00193D1F">
            <w:r>
              <w:t>Jihadists</w:t>
            </w:r>
          </w:p>
          <w:p w:rsidR="00FC0F09" w:rsidRDefault="00FC0F09">
            <w:r>
              <w:t>ISIS</w:t>
            </w:r>
            <w:r w:rsidR="00193D1F">
              <w:t>/</w:t>
            </w:r>
            <w:proofErr w:type="spellStart"/>
            <w:r w:rsidR="00193D1F">
              <w:t>Daesh</w:t>
            </w:r>
            <w:proofErr w:type="spellEnd"/>
            <w:r w:rsidR="00193D1F">
              <w:t>/ISIL</w:t>
            </w:r>
          </w:p>
          <w:p w:rsidR="00FC0F09" w:rsidRDefault="00FC0F09">
            <w:r>
              <w:t>Boko Haram</w:t>
            </w:r>
          </w:p>
          <w:p w:rsidR="00FC0F09" w:rsidRDefault="00FC0F09">
            <w:r>
              <w:lastRenderedPageBreak/>
              <w:t>Al Qaeda</w:t>
            </w:r>
          </w:p>
          <w:p w:rsidR="00FC0F09" w:rsidRDefault="00FC0F09">
            <w:r>
              <w:t>Taliban</w:t>
            </w:r>
          </w:p>
        </w:tc>
      </w:tr>
      <w:tr w:rsidR="00E11E58" w:rsidTr="00E11E58">
        <w:tc>
          <w:tcPr>
            <w:tcW w:w="3005" w:type="dxa"/>
          </w:tcPr>
          <w:p w:rsidR="00E11E58" w:rsidRDefault="00FC0F09">
            <w:r>
              <w:lastRenderedPageBreak/>
              <w:t>People affected by conflict</w:t>
            </w:r>
          </w:p>
        </w:tc>
        <w:tc>
          <w:tcPr>
            <w:tcW w:w="3005" w:type="dxa"/>
          </w:tcPr>
          <w:p w:rsidR="00E11E58" w:rsidRDefault="00FC0F09">
            <w:r>
              <w:t>Survivors</w:t>
            </w:r>
          </w:p>
          <w:p w:rsidR="00450150" w:rsidRDefault="00450150">
            <w:r>
              <w:t>Affected people</w:t>
            </w:r>
          </w:p>
        </w:tc>
        <w:tc>
          <w:tcPr>
            <w:tcW w:w="3006" w:type="dxa"/>
          </w:tcPr>
          <w:p w:rsidR="00E11E58" w:rsidRDefault="00FC0F09">
            <w:r>
              <w:t>Victims</w:t>
            </w:r>
          </w:p>
        </w:tc>
      </w:tr>
      <w:tr w:rsidR="00E11E58" w:rsidTr="00E11E58">
        <w:tc>
          <w:tcPr>
            <w:tcW w:w="3005" w:type="dxa"/>
          </w:tcPr>
          <w:p w:rsidR="00E11E58" w:rsidRDefault="00193D1F">
            <w:r>
              <w:t>Conflict</w:t>
            </w:r>
          </w:p>
        </w:tc>
        <w:tc>
          <w:tcPr>
            <w:tcW w:w="3005" w:type="dxa"/>
          </w:tcPr>
          <w:p w:rsidR="00F63ED8" w:rsidRDefault="00F63ED8">
            <w:r>
              <w:t>War (</w:t>
            </w:r>
            <w:r w:rsidRPr="00F63ED8">
              <w:rPr>
                <w:i/>
              </w:rPr>
              <w:t>see guidance above</w:t>
            </w:r>
            <w:r>
              <w:t>)</w:t>
            </w:r>
          </w:p>
          <w:p w:rsidR="00F63ED8" w:rsidRDefault="00F63ED8">
            <w:r>
              <w:t>Civil war</w:t>
            </w:r>
          </w:p>
          <w:p w:rsidR="00E11E58" w:rsidRDefault="00193D1F">
            <w:r>
              <w:t>Conflict</w:t>
            </w:r>
          </w:p>
          <w:p w:rsidR="00193D1F" w:rsidRDefault="00193D1F">
            <w:r>
              <w:t>Violence</w:t>
            </w:r>
          </w:p>
          <w:p w:rsidR="00193D1F" w:rsidRDefault="00193D1F">
            <w:r>
              <w:t>Armed conflict</w:t>
            </w:r>
          </w:p>
          <w:p w:rsidR="00193D1F" w:rsidRDefault="00193D1F">
            <w:r>
              <w:t>Fighting</w:t>
            </w:r>
          </w:p>
          <w:p w:rsidR="00193D1F" w:rsidRDefault="00193D1F">
            <w:r>
              <w:t>Military operations</w:t>
            </w:r>
          </w:p>
          <w:p w:rsidR="00450150" w:rsidRDefault="00450150">
            <w:r>
              <w:t>Civil unrest</w:t>
            </w:r>
          </w:p>
        </w:tc>
        <w:tc>
          <w:tcPr>
            <w:tcW w:w="3006" w:type="dxa"/>
          </w:tcPr>
          <w:p w:rsidR="00193D1F" w:rsidRDefault="00193D1F">
            <w:r>
              <w:t>Sectarian conflict</w:t>
            </w:r>
          </w:p>
          <w:p w:rsidR="00193D1F" w:rsidRDefault="00193D1F">
            <w:r>
              <w:t>Religious conflict</w:t>
            </w:r>
          </w:p>
          <w:p w:rsidR="00193D1F" w:rsidRDefault="00193D1F">
            <w:r>
              <w:t>Fight/War against terror</w:t>
            </w:r>
          </w:p>
          <w:p w:rsidR="00193D1F" w:rsidRDefault="00193D1F">
            <w:r>
              <w:t>Liberation</w:t>
            </w:r>
          </w:p>
          <w:p w:rsidR="00193D1F" w:rsidRDefault="00193D1F">
            <w:r>
              <w:t>Insurgency</w:t>
            </w:r>
          </w:p>
          <w:p w:rsidR="00193D1F" w:rsidRDefault="00193D1F">
            <w:r>
              <w:t>Rebellion</w:t>
            </w:r>
          </w:p>
          <w:p w:rsidR="00193D1F" w:rsidRDefault="00193D1F">
            <w:r>
              <w:t xml:space="preserve">Revolution </w:t>
            </w:r>
          </w:p>
          <w:p w:rsidR="00193D1F" w:rsidRDefault="00193D1F">
            <w:r>
              <w:t>Counter-insurgency</w:t>
            </w:r>
          </w:p>
          <w:p w:rsidR="00193D1F" w:rsidRDefault="00193D1F">
            <w:r>
              <w:t>Terror/Terrorism</w:t>
            </w:r>
          </w:p>
          <w:p w:rsidR="00193D1F" w:rsidRDefault="00193D1F"/>
        </w:tc>
      </w:tr>
      <w:tr w:rsidR="00E11E58" w:rsidTr="00E11E58">
        <w:tc>
          <w:tcPr>
            <w:tcW w:w="3005" w:type="dxa"/>
          </w:tcPr>
          <w:p w:rsidR="00E11E58" w:rsidRDefault="00193D1F">
            <w:r>
              <w:t>Population movements</w:t>
            </w:r>
          </w:p>
        </w:tc>
        <w:tc>
          <w:tcPr>
            <w:tcW w:w="3005" w:type="dxa"/>
          </w:tcPr>
          <w:p w:rsidR="00E11E58" w:rsidRDefault="00193D1F">
            <w:r>
              <w:t>Displacement</w:t>
            </w:r>
          </w:p>
          <w:p w:rsidR="00193D1F" w:rsidRDefault="00193D1F">
            <w:r>
              <w:t>Forced displacement</w:t>
            </w:r>
          </w:p>
          <w:p w:rsidR="00193D1F" w:rsidRDefault="00193D1F">
            <w:r>
              <w:t>Expulsion</w:t>
            </w:r>
          </w:p>
          <w:p w:rsidR="00193D1F" w:rsidRDefault="00193D1F">
            <w:r>
              <w:t>Evacuation</w:t>
            </w:r>
          </w:p>
          <w:p w:rsidR="00193D1F" w:rsidRDefault="00193D1F">
            <w:r>
              <w:t xml:space="preserve">Forced returns </w:t>
            </w:r>
          </w:p>
        </w:tc>
        <w:tc>
          <w:tcPr>
            <w:tcW w:w="3006" w:type="dxa"/>
          </w:tcPr>
          <w:p w:rsidR="00E11E58" w:rsidRDefault="00E11E58"/>
        </w:tc>
      </w:tr>
      <w:tr w:rsidR="00E11E58" w:rsidTr="00E11E58">
        <w:tc>
          <w:tcPr>
            <w:tcW w:w="3005" w:type="dxa"/>
          </w:tcPr>
          <w:p w:rsidR="00E11E58" w:rsidRDefault="00FC0F09">
            <w:r>
              <w:t>Food crises</w:t>
            </w:r>
            <w:r w:rsidR="005565BC">
              <w:t xml:space="preserve"> – no famine officially declared</w:t>
            </w:r>
          </w:p>
        </w:tc>
        <w:tc>
          <w:tcPr>
            <w:tcW w:w="3005" w:type="dxa"/>
          </w:tcPr>
          <w:p w:rsidR="00E11E58" w:rsidRDefault="00FC0F09">
            <w:r>
              <w:t>Food crisis</w:t>
            </w:r>
          </w:p>
          <w:p w:rsidR="00837242" w:rsidRDefault="00837242">
            <w:r>
              <w:t xml:space="preserve">Hunger crisis </w:t>
            </w:r>
          </w:p>
          <w:p w:rsidR="00837242" w:rsidRDefault="00FC0F09">
            <w:r>
              <w:t>Food insecurity</w:t>
            </w:r>
          </w:p>
        </w:tc>
        <w:tc>
          <w:tcPr>
            <w:tcW w:w="3006" w:type="dxa"/>
          </w:tcPr>
          <w:p w:rsidR="00193D1F" w:rsidRDefault="00193D1F">
            <w:r>
              <w:t xml:space="preserve">Famine </w:t>
            </w:r>
          </w:p>
          <w:p w:rsidR="00193D1F" w:rsidRDefault="00FC0F09">
            <w:r>
              <w:t>Starvation</w:t>
            </w:r>
          </w:p>
        </w:tc>
      </w:tr>
      <w:tr w:rsidR="00FC0F09" w:rsidTr="00E11E58">
        <w:tc>
          <w:tcPr>
            <w:tcW w:w="3005" w:type="dxa"/>
          </w:tcPr>
          <w:p w:rsidR="00FC0F09" w:rsidRDefault="00FC0F09">
            <w:r>
              <w:t xml:space="preserve">Famine – if officially declared by </w:t>
            </w:r>
            <w:r w:rsidR="00837242">
              <w:t xml:space="preserve">the </w:t>
            </w:r>
            <w:r>
              <w:t xml:space="preserve">UN </w:t>
            </w:r>
          </w:p>
        </w:tc>
        <w:tc>
          <w:tcPr>
            <w:tcW w:w="3005" w:type="dxa"/>
          </w:tcPr>
          <w:p w:rsidR="00FC0F09" w:rsidRDefault="00FC0F09">
            <w:r>
              <w:t>Famine</w:t>
            </w:r>
          </w:p>
          <w:p w:rsidR="00FC0F09" w:rsidRDefault="00FC0F09">
            <w:r>
              <w:t>Starvation</w:t>
            </w:r>
          </w:p>
        </w:tc>
        <w:tc>
          <w:tcPr>
            <w:tcW w:w="3006" w:type="dxa"/>
          </w:tcPr>
          <w:p w:rsidR="00FC0F09" w:rsidRDefault="00FC0F09"/>
        </w:tc>
      </w:tr>
      <w:tr w:rsidR="00E11E58" w:rsidTr="00E11E58">
        <w:tc>
          <w:tcPr>
            <w:tcW w:w="3005" w:type="dxa"/>
          </w:tcPr>
          <w:p w:rsidR="00E11E58" w:rsidRDefault="00193D1F">
            <w:r>
              <w:t>Critical security i</w:t>
            </w:r>
            <w:r w:rsidR="00FC0F09">
              <w:t>ncidents involving CARE staff</w:t>
            </w:r>
            <w:r>
              <w:t xml:space="preserve"> (</w:t>
            </w:r>
            <w:r w:rsidRPr="00193D1F">
              <w:rPr>
                <w:i/>
              </w:rPr>
              <w:t>unless otherwise specified</w:t>
            </w:r>
            <w:r>
              <w:t>)</w:t>
            </w:r>
          </w:p>
        </w:tc>
        <w:tc>
          <w:tcPr>
            <w:tcW w:w="3005" w:type="dxa"/>
          </w:tcPr>
          <w:p w:rsidR="00E11E58" w:rsidRDefault="00FC0F09">
            <w:r>
              <w:t xml:space="preserve">Abducted </w:t>
            </w:r>
          </w:p>
          <w:p w:rsidR="00FC0F09" w:rsidRDefault="00FC0F09">
            <w:r>
              <w:t>Missing</w:t>
            </w:r>
          </w:p>
        </w:tc>
        <w:tc>
          <w:tcPr>
            <w:tcW w:w="3006" w:type="dxa"/>
          </w:tcPr>
          <w:p w:rsidR="00E11E58" w:rsidRDefault="00FC0F09">
            <w:r>
              <w:t>Kidnapped</w:t>
            </w:r>
          </w:p>
        </w:tc>
      </w:tr>
      <w:tr w:rsidR="00E11E58" w:rsidTr="00E11E58">
        <w:tc>
          <w:tcPr>
            <w:tcW w:w="3005" w:type="dxa"/>
          </w:tcPr>
          <w:p w:rsidR="00E11E58" w:rsidRDefault="00193D1F">
            <w:r>
              <w:t>Violence against civilians</w:t>
            </w:r>
          </w:p>
        </w:tc>
        <w:tc>
          <w:tcPr>
            <w:tcW w:w="3005" w:type="dxa"/>
          </w:tcPr>
          <w:p w:rsidR="00E11E58" w:rsidRDefault="00FC0F09">
            <w:r>
              <w:t>Killed</w:t>
            </w:r>
          </w:p>
          <w:p w:rsidR="00FC0F09" w:rsidRDefault="00FC0F09">
            <w:r>
              <w:t xml:space="preserve">Dead </w:t>
            </w:r>
          </w:p>
          <w:p w:rsidR="00FC0F09" w:rsidRDefault="00FC0F09">
            <w:r>
              <w:t>Injured</w:t>
            </w:r>
          </w:p>
          <w:p w:rsidR="00FC0F09" w:rsidRDefault="00FC0F09">
            <w:r>
              <w:t>Casualties</w:t>
            </w:r>
          </w:p>
          <w:p w:rsidR="00450150" w:rsidRDefault="00450150">
            <w:r>
              <w:t xml:space="preserve">Fatalities </w:t>
            </w:r>
          </w:p>
        </w:tc>
        <w:tc>
          <w:tcPr>
            <w:tcW w:w="3006" w:type="dxa"/>
          </w:tcPr>
          <w:p w:rsidR="00E11E58" w:rsidRDefault="00FC0F09">
            <w:r>
              <w:t>Massacred</w:t>
            </w:r>
          </w:p>
          <w:p w:rsidR="00FC0F09" w:rsidRDefault="00FC0F09">
            <w:r>
              <w:t xml:space="preserve">Slaughtered </w:t>
            </w:r>
          </w:p>
          <w:p w:rsidR="00F63ED8" w:rsidRDefault="00F63ED8">
            <w:r>
              <w:t>Genocide (</w:t>
            </w:r>
            <w:r w:rsidRPr="00F63ED8">
              <w:rPr>
                <w:i/>
              </w:rPr>
              <w:t>use only if declared by UN</w:t>
            </w:r>
            <w:r>
              <w:t>)</w:t>
            </w:r>
          </w:p>
        </w:tc>
      </w:tr>
      <w:tr w:rsidR="00837242" w:rsidTr="00E11E58">
        <w:tc>
          <w:tcPr>
            <w:tcW w:w="3005" w:type="dxa"/>
          </w:tcPr>
          <w:p w:rsidR="00837242" w:rsidRDefault="00837242">
            <w:r>
              <w:t xml:space="preserve">Cholera – if NOT officially declared by WHO </w:t>
            </w:r>
          </w:p>
        </w:tc>
        <w:tc>
          <w:tcPr>
            <w:tcW w:w="3005" w:type="dxa"/>
          </w:tcPr>
          <w:p w:rsidR="00837242" w:rsidRDefault="00837242">
            <w:r>
              <w:t>Water borne diseases</w:t>
            </w:r>
          </w:p>
          <w:p w:rsidR="00837242" w:rsidRDefault="00837242">
            <w:r>
              <w:t xml:space="preserve">Acute watery </w:t>
            </w:r>
            <w:proofErr w:type="spellStart"/>
            <w:r w:rsidRPr="00223212">
              <w:rPr>
                <w:sz w:val="20"/>
                <w:szCs w:val="20"/>
              </w:rPr>
              <w:t>diarrhea</w:t>
            </w:r>
            <w:proofErr w:type="spellEnd"/>
          </w:p>
        </w:tc>
        <w:tc>
          <w:tcPr>
            <w:tcW w:w="3006" w:type="dxa"/>
          </w:tcPr>
          <w:p w:rsidR="00837242" w:rsidRDefault="00837242">
            <w:r>
              <w:t>Cholera</w:t>
            </w:r>
          </w:p>
        </w:tc>
      </w:tr>
      <w:tr w:rsidR="00193D1F" w:rsidTr="00E11E58">
        <w:tc>
          <w:tcPr>
            <w:tcW w:w="3005" w:type="dxa"/>
          </w:tcPr>
          <w:p w:rsidR="00193D1F" w:rsidRDefault="00193D1F">
            <w:r>
              <w:t>Gender based violence</w:t>
            </w:r>
          </w:p>
        </w:tc>
        <w:tc>
          <w:tcPr>
            <w:tcW w:w="3005" w:type="dxa"/>
          </w:tcPr>
          <w:p w:rsidR="00193D1F" w:rsidRDefault="00193D1F">
            <w:r>
              <w:t xml:space="preserve">Survivors </w:t>
            </w:r>
          </w:p>
        </w:tc>
        <w:tc>
          <w:tcPr>
            <w:tcW w:w="3006" w:type="dxa"/>
          </w:tcPr>
          <w:p w:rsidR="00193D1F" w:rsidRDefault="00193D1F">
            <w:r>
              <w:t>Victims</w:t>
            </w:r>
          </w:p>
        </w:tc>
      </w:tr>
    </w:tbl>
    <w:p w:rsidR="00E11E58" w:rsidRDefault="00E11E58"/>
    <w:p w:rsidR="00E11E58" w:rsidRDefault="00E11E58"/>
    <w:p w:rsidR="00E11E58" w:rsidRDefault="00E11E58"/>
    <w:sectPr w:rsidR="00E11E5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53" w:rsidRDefault="00C20553" w:rsidP="00837242">
      <w:pPr>
        <w:spacing w:after="0" w:line="240" w:lineRule="auto"/>
      </w:pPr>
      <w:r>
        <w:separator/>
      </w:r>
    </w:p>
  </w:endnote>
  <w:endnote w:type="continuationSeparator" w:id="0">
    <w:p w:rsidR="00C20553" w:rsidRDefault="00C20553" w:rsidP="0083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43441"/>
      <w:docPartObj>
        <w:docPartGallery w:val="Page Numbers (Bottom of Page)"/>
        <w:docPartUnique/>
      </w:docPartObj>
    </w:sdtPr>
    <w:sdtEndPr>
      <w:rPr>
        <w:noProof/>
      </w:rPr>
    </w:sdtEndPr>
    <w:sdtContent>
      <w:p w:rsidR="00837242" w:rsidRDefault="00837242">
        <w:pPr>
          <w:pStyle w:val="Footer"/>
          <w:jc w:val="right"/>
        </w:pPr>
        <w:r>
          <w:fldChar w:fldCharType="begin"/>
        </w:r>
        <w:r>
          <w:instrText xml:space="preserve"> PAGE   \* MERGEFORMAT </w:instrText>
        </w:r>
        <w:r>
          <w:fldChar w:fldCharType="separate"/>
        </w:r>
        <w:r w:rsidR="00C86A30">
          <w:rPr>
            <w:noProof/>
          </w:rPr>
          <w:t>2</w:t>
        </w:r>
        <w:r>
          <w:rPr>
            <w:noProof/>
          </w:rPr>
          <w:fldChar w:fldCharType="end"/>
        </w:r>
      </w:p>
    </w:sdtContent>
  </w:sdt>
  <w:p w:rsidR="00837242" w:rsidRDefault="00837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53" w:rsidRDefault="00C20553" w:rsidP="00837242">
      <w:pPr>
        <w:spacing w:after="0" w:line="240" w:lineRule="auto"/>
      </w:pPr>
      <w:r>
        <w:separator/>
      </w:r>
    </w:p>
  </w:footnote>
  <w:footnote w:type="continuationSeparator" w:id="0">
    <w:p w:rsidR="00C20553" w:rsidRDefault="00C20553" w:rsidP="00837242">
      <w:pPr>
        <w:spacing w:after="0" w:line="240" w:lineRule="auto"/>
      </w:pPr>
      <w:r>
        <w:continuationSeparator/>
      </w:r>
    </w:p>
  </w:footnote>
  <w:footnote w:id="1">
    <w:p w:rsidR="00C86A30" w:rsidRPr="00735349" w:rsidRDefault="00C86A30" w:rsidP="00C86A30">
      <w:pPr>
        <w:rPr>
          <w:b/>
          <w:sz w:val="24"/>
        </w:rPr>
      </w:pPr>
      <w:r>
        <w:rPr>
          <w:rStyle w:val="FootnoteReference"/>
        </w:rPr>
        <w:footnoteRef/>
      </w:r>
      <w:r>
        <w:t xml:space="preserve"> </w:t>
      </w:r>
      <w:r w:rsidRPr="00C86A30">
        <w:rPr>
          <w:sz w:val="20"/>
        </w:rPr>
        <w:t>adapted from UN OCHA’s standard la</w:t>
      </w:r>
      <w:bookmarkStart w:id="0" w:name="_GoBack"/>
      <w:bookmarkEnd w:id="0"/>
      <w:r w:rsidRPr="00C86A30">
        <w:rPr>
          <w:sz w:val="20"/>
        </w:rPr>
        <w:t xml:space="preserve">nguage on conflict document </w:t>
      </w:r>
    </w:p>
    <w:p w:rsidR="00C86A30" w:rsidRDefault="00C86A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D8" w:rsidRDefault="00F63ED8">
    <w:pPr>
      <w:pStyle w:val="Header"/>
    </w:pPr>
    <w:r>
      <w:t>December 2016</w:t>
    </w:r>
  </w:p>
  <w:p w:rsidR="00F63ED8" w:rsidRDefault="00F6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25606"/>
    <w:multiLevelType w:val="hybridMultilevel"/>
    <w:tmpl w:val="FACA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58"/>
    <w:rsid w:val="00114E73"/>
    <w:rsid w:val="00193D1F"/>
    <w:rsid w:val="003E3BA2"/>
    <w:rsid w:val="00431EB0"/>
    <w:rsid w:val="00450150"/>
    <w:rsid w:val="00474A86"/>
    <w:rsid w:val="005565BC"/>
    <w:rsid w:val="0056211B"/>
    <w:rsid w:val="005C1C4A"/>
    <w:rsid w:val="00735349"/>
    <w:rsid w:val="00837242"/>
    <w:rsid w:val="00A03EC6"/>
    <w:rsid w:val="00C20553"/>
    <w:rsid w:val="00C86A30"/>
    <w:rsid w:val="00E11E58"/>
    <w:rsid w:val="00F63ED8"/>
    <w:rsid w:val="00FC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28FB-9B1A-4AA8-B983-B789E55B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E58"/>
    <w:pPr>
      <w:ind w:left="720"/>
      <w:contextualSpacing/>
    </w:pPr>
  </w:style>
  <w:style w:type="paragraph" w:styleId="Header">
    <w:name w:val="header"/>
    <w:basedOn w:val="Normal"/>
    <w:link w:val="HeaderChar"/>
    <w:uiPriority w:val="99"/>
    <w:unhideWhenUsed/>
    <w:rsid w:val="00837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42"/>
  </w:style>
  <w:style w:type="paragraph" w:styleId="Footer">
    <w:name w:val="footer"/>
    <w:basedOn w:val="Normal"/>
    <w:link w:val="FooterChar"/>
    <w:uiPriority w:val="99"/>
    <w:unhideWhenUsed/>
    <w:rsid w:val="00837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42"/>
  </w:style>
  <w:style w:type="character" w:styleId="Hyperlink">
    <w:name w:val="Hyperlink"/>
    <w:basedOn w:val="DefaultParagraphFont"/>
    <w:uiPriority w:val="99"/>
    <w:unhideWhenUsed/>
    <w:rsid w:val="0056211B"/>
    <w:rPr>
      <w:color w:val="0563C1" w:themeColor="hyperlink"/>
      <w:u w:val="single"/>
    </w:rPr>
  </w:style>
  <w:style w:type="paragraph" w:styleId="FootnoteText">
    <w:name w:val="footnote text"/>
    <w:basedOn w:val="Normal"/>
    <w:link w:val="FootnoteTextChar"/>
    <w:uiPriority w:val="99"/>
    <w:semiHidden/>
    <w:unhideWhenUsed/>
    <w:rsid w:val="00C86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A30"/>
    <w:rPr>
      <w:sz w:val="20"/>
      <w:szCs w:val="20"/>
    </w:rPr>
  </w:style>
  <w:style w:type="character" w:styleId="FootnoteReference">
    <w:name w:val="footnote reference"/>
    <w:basedOn w:val="DefaultParagraphFont"/>
    <w:uiPriority w:val="99"/>
    <w:semiHidden/>
    <w:unhideWhenUsed/>
    <w:rsid w:val="00C86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4233">
      <w:bodyDiv w:val="1"/>
      <w:marLeft w:val="0"/>
      <w:marRight w:val="0"/>
      <w:marTop w:val="0"/>
      <w:marBottom w:val="0"/>
      <w:divBdr>
        <w:top w:val="none" w:sz="0" w:space="0" w:color="auto"/>
        <w:left w:val="none" w:sz="0" w:space="0" w:color="auto"/>
        <w:bottom w:val="none" w:sz="0" w:space="0" w:color="auto"/>
        <w:right w:val="none" w:sz="0" w:space="0" w:color="auto"/>
      </w:divBdr>
    </w:div>
    <w:div w:id="928463445">
      <w:bodyDiv w:val="1"/>
      <w:marLeft w:val="0"/>
      <w:marRight w:val="0"/>
      <w:marTop w:val="0"/>
      <w:marBottom w:val="0"/>
      <w:divBdr>
        <w:top w:val="none" w:sz="0" w:space="0" w:color="auto"/>
        <w:left w:val="none" w:sz="0" w:space="0" w:color="auto"/>
        <w:bottom w:val="none" w:sz="0" w:space="0" w:color="auto"/>
        <w:right w:val="none" w:sz="0" w:space="0" w:color="auto"/>
      </w:divBdr>
    </w:div>
    <w:div w:id="18783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who-we-hel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CC9D-A726-4757-803A-98E11CE5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Bulling, Sandra</dc:creator>
  <cp:keywords/>
  <dc:description/>
  <cp:lastModifiedBy>Bulling, Sandra</cp:lastModifiedBy>
  <cp:revision>7</cp:revision>
  <dcterms:created xsi:type="dcterms:W3CDTF">2016-11-08T09:19:00Z</dcterms:created>
  <dcterms:modified xsi:type="dcterms:W3CDTF">2017-02-03T15:28:00Z</dcterms:modified>
</cp:coreProperties>
</file>